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方正小标宋_GBK" w:hAnsi="华文中宋" w:eastAsia="方正小标宋_GBK" w:cs="Times New Roman"/>
          <w:b/>
          <w:bCs/>
          <w:spacing w:val="3"/>
          <w:kern w:val="2"/>
          <w:sz w:val="44"/>
          <w:szCs w:val="44"/>
          <w:lang w:val="en-US" w:eastAsia="zh-CN" w:bidi="ar-SA"/>
        </w:rPr>
      </w:pPr>
      <w:r>
        <w:rPr>
          <w:rFonts w:hint="eastAsia" w:ascii="方正小标宋_GBK" w:hAnsi="华文中宋" w:eastAsia="方正小标宋_GBK" w:cs="Times New Roman"/>
          <w:b/>
          <w:bCs/>
          <w:spacing w:val="3"/>
          <w:kern w:val="2"/>
          <w:sz w:val="44"/>
          <w:szCs w:val="44"/>
          <w:lang w:val="en-US" w:eastAsia="zh-CN" w:bidi="ar-SA"/>
        </w:rPr>
        <w:t>惠州市国有建设用地使用权</w:t>
      </w:r>
    </w:p>
    <w:p>
      <w:pPr>
        <w:pStyle w:val="6"/>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eastAsia" w:ascii="方正小标宋_GBK" w:hAnsi="华文中宋" w:eastAsia="方正小标宋_GBK" w:cs="Times New Roman"/>
          <w:b/>
          <w:bCs/>
          <w:spacing w:val="3"/>
          <w:kern w:val="2"/>
          <w:sz w:val="44"/>
          <w:szCs w:val="44"/>
          <w:lang w:val="en-US" w:eastAsia="zh-CN" w:bidi="ar-SA"/>
        </w:rPr>
      </w:pPr>
      <w:r>
        <w:rPr>
          <w:rFonts w:hint="eastAsia" w:ascii="方正小标宋_GBK" w:hAnsi="华文中宋" w:eastAsia="方正小标宋_GBK" w:cs="Times New Roman"/>
          <w:b/>
          <w:bCs/>
          <w:spacing w:val="3"/>
          <w:kern w:val="2"/>
          <w:sz w:val="44"/>
          <w:szCs w:val="44"/>
          <w:lang w:val="en-US" w:eastAsia="zh-CN" w:bidi="ar-SA"/>
        </w:rPr>
        <w:t>网上挂牌出让须知</w:t>
      </w:r>
    </w:p>
    <w:p>
      <w:pPr>
        <w:pStyle w:val="6"/>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惠公易土市直[2021]039号</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left"/>
        <w:textAlignment w:val="auto"/>
        <w:outlineLvl w:val="9"/>
      </w:pPr>
      <w:r>
        <w:rPr>
          <w:rFonts w:hint="eastAsia" w:ascii="仿宋_GB2312" w:hAnsi="仿宋_GB2312" w:eastAsia="仿宋_GB2312" w:cs="仿宋_GB2312"/>
          <w:kern w:val="2"/>
          <w:sz w:val="32"/>
          <w:szCs w:val="32"/>
          <w:lang w:val="en-US" w:eastAsia="zh-CN" w:bidi="ar-SA"/>
        </w:rPr>
        <w:t>根据《中华人民共和国土地管理法》、《中华人民共和国城市房地产管理法》、《招标拍卖挂牌出让国有建设用地使用权规定》以及《招标拍卖挂牌出让国有土地使用权规范》等有关规定，经惠州市人民政府批准，受惠州市自然资源局委托，本中心以网上挂牌交易方式出让下列国有建设用地使用权。</w:t>
      </w:r>
    </w:p>
    <w:p>
      <w:pPr>
        <w:tabs>
          <w:tab w:val="left" w:pos="3388"/>
        </w:tabs>
        <w:spacing w:line="560" w:lineRule="exact"/>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一、本次国有建设用地使用权网上挂牌出让的出让人为惠州市自然资源局，具体组织实施由惠州市公共资源交易中心承办。</w:t>
      </w:r>
    </w:p>
    <w:p>
      <w:pPr>
        <w:tabs>
          <w:tab w:val="left" w:pos="3388"/>
        </w:tabs>
        <w:spacing w:line="560" w:lineRule="exact"/>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二、本次国有建设用地使用权网上挂牌出让遵循公开、公平、公正和诚实信用原则。</w:t>
      </w:r>
    </w:p>
    <w:p>
      <w:pPr>
        <w:tabs>
          <w:tab w:val="left" w:pos="3388"/>
        </w:tabs>
        <w:spacing w:line="560" w:lineRule="exact"/>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三、出让地块的基本情况及规划指标要求</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（一）挂牌地块编号：GP2021-</w:t>
      </w:r>
      <w:r>
        <w:rPr>
          <w:rFonts w:hint="eastAsia" w:ascii="仿宋_GB2312" w:hAnsi="仿宋_GB2312" w:eastAsia="仿宋_GB2312" w:cs="仿宋_GB2312"/>
          <w:sz w:val="32"/>
          <w:szCs w:val="32"/>
          <w:lang w:val="en-US" w:eastAsia="zh-CN"/>
        </w:rPr>
        <w:t>39</w:t>
      </w:r>
      <w:r>
        <w:rPr>
          <w:rFonts w:hint="eastAsia" w:ascii="仿宋_GB2312" w:hAnsi="仿宋_GB2312" w:eastAsia="仿宋_GB2312" w:cs="仿宋_GB2312"/>
          <w:sz w:val="32"/>
          <w:szCs w:val="32"/>
        </w:rPr>
        <w:t>；</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（二）地块位置：</w:t>
      </w:r>
      <w:r>
        <w:rPr>
          <w:rFonts w:hint="eastAsia" w:ascii="仿宋_GB2312" w:hAnsi="仿宋_GB2312" w:eastAsia="仿宋_GB2312" w:cs="仿宋_GB2312"/>
          <w:sz w:val="32"/>
          <w:szCs w:val="32"/>
          <w:lang w:val="en-US" w:eastAsia="zh-CN"/>
        </w:rPr>
        <w:t>惠州市惠城区</w:t>
      </w:r>
      <w:r>
        <w:rPr>
          <w:rFonts w:hint="eastAsia" w:ascii="仿宋_GB2312" w:hAnsi="仿宋_GB2312" w:eastAsia="仿宋_GB2312" w:cs="仿宋_GB2312"/>
          <w:sz w:val="32"/>
          <w:szCs w:val="32"/>
          <w:lang w:eastAsia="zh-CN"/>
        </w:rPr>
        <w:t>河南岸</w:t>
      </w:r>
      <w:r>
        <w:rPr>
          <w:rFonts w:hint="eastAsia" w:ascii="仿宋_GB2312" w:hAnsi="仿宋_GB2312" w:eastAsia="仿宋_GB2312" w:cs="仿宋_GB2312"/>
          <w:sz w:val="32"/>
          <w:szCs w:val="32"/>
          <w:lang w:val="en-US" w:eastAsia="zh-CN"/>
        </w:rPr>
        <w:t>HNA29-1-02地块（地下空间）</w:t>
      </w:r>
      <w:r>
        <w:rPr>
          <w:rFonts w:hint="eastAsia" w:ascii="仿宋_GB2312" w:hAnsi="仿宋_GB2312" w:eastAsia="仿宋_GB2312" w:cs="仿宋_GB2312"/>
          <w:sz w:val="32"/>
          <w:szCs w:val="32"/>
        </w:rPr>
        <w:t>;</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val="en-US" w:eastAsia="zh-CN"/>
        </w:rPr>
        <w:t>用地</w:t>
      </w:r>
      <w:r>
        <w:rPr>
          <w:rFonts w:hint="eastAsia" w:ascii="仿宋_GB2312" w:hAnsi="仿宋_GB2312" w:eastAsia="仿宋_GB2312" w:cs="仿宋_GB2312"/>
          <w:sz w:val="32"/>
          <w:szCs w:val="32"/>
        </w:rPr>
        <w:t>编号：</w:t>
      </w:r>
      <w:r>
        <w:rPr>
          <w:rFonts w:hint="eastAsia" w:ascii="仿宋_GB2312" w:hAnsi="仿宋_GB2312" w:eastAsia="仿宋_GB2312" w:cs="仿宋_GB2312"/>
          <w:sz w:val="32"/>
          <w:szCs w:val="32"/>
          <w:lang w:val="en-US" w:eastAsia="zh-CN"/>
        </w:rPr>
        <w:t>HNA29-1-02</w:t>
      </w:r>
      <w:r>
        <w:rPr>
          <w:rFonts w:hint="eastAsia" w:ascii="仿宋_GB2312" w:hAnsi="仿宋_GB2312" w:eastAsia="仿宋_GB2312" w:cs="仿宋_GB2312"/>
          <w:sz w:val="32"/>
          <w:szCs w:val="32"/>
        </w:rPr>
        <w:t>;</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 w:eastAsia="仿宋_GB2312"/>
          <w:kern w:val="2"/>
          <w:sz w:val="32"/>
          <w:szCs w:val="32"/>
        </w:rPr>
      </w:pPr>
      <w:r>
        <w:rPr>
          <w:rFonts w:hint="eastAsia" w:ascii="仿宋_GB2312" w:hAnsi="仿宋_GB2312" w:eastAsia="仿宋_GB2312" w:cs="仿宋_GB2312"/>
          <w:sz w:val="32"/>
          <w:szCs w:val="32"/>
        </w:rPr>
        <w:t>（四）地块范围：</w:t>
      </w:r>
      <w:r>
        <w:rPr>
          <w:rFonts w:hint="eastAsia" w:ascii="仿宋_GB2312" w:hAnsi="仿宋" w:eastAsia="仿宋_GB2312" w:cs="Times New Roman"/>
          <w:kern w:val="2"/>
          <w:sz w:val="32"/>
          <w:szCs w:val="32"/>
        </w:rPr>
        <w:t>平面界址点</w:t>
      </w:r>
      <w:r>
        <w:rPr>
          <w:rFonts w:hint="eastAsia" w:ascii="仿宋_GB2312" w:hAnsi="仿宋" w:eastAsia="仿宋_GB2312" w:cs="Times New Roman"/>
          <w:kern w:val="2"/>
          <w:sz w:val="32"/>
          <w:szCs w:val="32"/>
          <w:lang w:eastAsia="zh-CN"/>
        </w:rPr>
        <w:t>以《建设用地红线图》（案宗编号：</w:t>
      </w:r>
      <w:r>
        <w:rPr>
          <w:rFonts w:hint="eastAsia" w:ascii="Times New Roman" w:hAnsi="Times New Roman" w:eastAsia="仿宋_GB2312" w:cs="Times New Roman"/>
          <w:color w:val="auto"/>
          <w:sz w:val="32"/>
          <w:szCs w:val="32"/>
          <w:highlight w:val="none"/>
          <w:lang w:val="en-US" w:eastAsia="zh-CN" w:bidi="ar-SA"/>
        </w:rPr>
        <w:t>YD20210036</w:t>
      </w:r>
      <w:r>
        <w:rPr>
          <w:rFonts w:hint="eastAsia" w:ascii="仿宋_GB2312" w:hAnsi="仿宋" w:eastAsia="仿宋_GB2312" w:cs="Times New Roman"/>
          <w:kern w:val="2"/>
          <w:sz w:val="32"/>
          <w:szCs w:val="32"/>
          <w:lang w:val="en-US" w:eastAsia="zh-CN"/>
        </w:rPr>
        <w:t xml:space="preserve"> )</w:t>
      </w:r>
      <w:r>
        <w:rPr>
          <w:rFonts w:hint="eastAsia" w:ascii="仿宋_GB2312" w:hAnsi="仿宋" w:eastAsia="仿宋_GB2312" w:cs="Times New Roman"/>
          <w:kern w:val="2"/>
          <w:sz w:val="32"/>
          <w:szCs w:val="32"/>
        </w:rPr>
        <w:t>为准</w:t>
      </w:r>
      <w:r>
        <w:rPr>
          <w:rFonts w:hint="eastAsia" w:ascii="仿宋_GB2312" w:hAnsi="仿宋" w:eastAsia="仿宋_GB2312"/>
          <w:kern w:val="2"/>
          <w:sz w:val="32"/>
          <w:szCs w:val="32"/>
        </w:rPr>
        <w:t>，宗地竖向界限以《</w:t>
      </w:r>
      <w:r>
        <w:rPr>
          <w:rFonts w:hint="eastAsia" w:ascii="仿宋_GB2312" w:hAnsi="仿宋" w:eastAsia="仿宋_GB2312"/>
          <w:kern w:val="2"/>
          <w:sz w:val="32"/>
          <w:szCs w:val="32"/>
          <w:lang w:eastAsia="zh-CN"/>
        </w:rPr>
        <w:t>建设用地规划设计条件</w:t>
      </w:r>
      <w:r>
        <w:rPr>
          <w:rFonts w:hint="eastAsia" w:ascii="仿宋_GB2312" w:hAnsi="仿宋" w:eastAsia="仿宋_GB2312"/>
          <w:kern w:val="2"/>
          <w:sz w:val="32"/>
          <w:szCs w:val="32"/>
        </w:rPr>
        <w:t>（案卷编号：</w:t>
      </w:r>
      <w:r>
        <w:rPr>
          <w:rFonts w:hint="eastAsia" w:ascii="Times New Roman" w:hAnsi="Times New Roman" w:eastAsia="仿宋_GB2312" w:cs="Times New Roman"/>
          <w:color w:val="auto"/>
          <w:sz w:val="32"/>
          <w:szCs w:val="32"/>
          <w:highlight w:val="none"/>
          <w:lang w:val="en-US" w:eastAsia="zh-CN" w:bidi="ar-SA"/>
        </w:rPr>
        <w:t>PB202100</w:t>
      </w:r>
      <w:r>
        <w:rPr>
          <w:rFonts w:hint="eastAsia" w:ascii="仿宋_GB2312" w:hAnsi="仿宋" w:eastAsia="仿宋_GB2312"/>
          <w:kern w:val="2"/>
          <w:sz w:val="32"/>
          <w:szCs w:val="32"/>
          <w:lang w:val="en-US" w:eastAsia="zh-CN"/>
        </w:rPr>
        <w:t>53</w:t>
      </w:r>
      <w:r>
        <w:rPr>
          <w:rFonts w:hint="eastAsia" w:ascii="仿宋_GB2312" w:hAnsi="仿宋" w:eastAsia="仿宋_GB2312"/>
          <w:kern w:val="2"/>
          <w:sz w:val="32"/>
          <w:szCs w:val="32"/>
        </w:rPr>
        <w:t>）》规定为准；</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 w:eastAsia="仿宋_GB2312"/>
          <w:kern w:val="2"/>
          <w:sz w:val="32"/>
          <w:szCs w:val="32"/>
        </w:rPr>
        <w:t>（五）</w:t>
      </w:r>
      <w:r>
        <w:rPr>
          <w:rFonts w:hint="eastAsia" w:ascii="仿宋_GB2312" w:hAnsi="仿宋" w:eastAsia="仿宋_GB2312"/>
          <w:kern w:val="2"/>
          <w:sz w:val="32"/>
          <w:szCs w:val="32"/>
          <w:lang w:val="en-US" w:eastAsia="zh-CN"/>
        </w:rPr>
        <w:t>地下室</w:t>
      </w:r>
      <w:r>
        <w:rPr>
          <w:rFonts w:hint="eastAsia" w:ascii="仿宋_GB2312" w:hAnsi="仿宋" w:eastAsia="仿宋_GB2312"/>
          <w:kern w:val="2"/>
          <w:sz w:val="32"/>
          <w:szCs w:val="32"/>
        </w:rPr>
        <w:t>宗地使用权面积为：</w:t>
      </w:r>
      <w:r>
        <w:rPr>
          <w:rFonts w:hint="eastAsia" w:ascii="仿宋_GB2312" w:hAnsi="仿宋" w:eastAsia="仿宋_GB2312"/>
          <w:kern w:val="2"/>
          <w:sz w:val="32"/>
          <w:szCs w:val="32"/>
          <w:lang w:val="en-US" w:eastAsia="zh-CN"/>
        </w:rPr>
        <w:t>12124.52</w:t>
      </w:r>
      <w:r>
        <w:rPr>
          <w:rFonts w:hint="eastAsia" w:ascii="仿宋_GB2312" w:hAnsi="仿宋" w:eastAsia="仿宋_GB2312"/>
          <w:kern w:val="2"/>
          <w:sz w:val="32"/>
          <w:szCs w:val="32"/>
        </w:rPr>
        <w:t>平方</w:t>
      </w:r>
      <w:r>
        <w:rPr>
          <w:rFonts w:hint="eastAsia" w:ascii="仿宋_GB2312" w:hAnsi="仿宋_GB2312" w:eastAsia="仿宋_GB2312" w:cs="仿宋_GB2312"/>
          <w:sz w:val="32"/>
          <w:szCs w:val="32"/>
          <w:highlight w:val="none"/>
        </w:rPr>
        <w:t>米；</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（六）计算指标用</w:t>
      </w:r>
      <w:r>
        <w:rPr>
          <w:rFonts w:hint="eastAsia" w:ascii="仿宋_GB2312" w:hAnsi="仿宋_GB2312" w:eastAsia="仿宋_GB2312" w:cs="仿宋_GB2312"/>
          <w:sz w:val="32"/>
          <w:szCs w:val="32"/>
          <w:highlight w:val="none"/>
          <w:lang w:val="en-US" w:eastAsia="zh-CN"/>
        </w:rPr>
        <w:t>地面积为：15488平方米；</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（七）计容积率建筑面积为：≤1239平方米；</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（八）容积率为：≤0.08；</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（九）建筑密度为：</w:t>
      </w:r>
      <w:r>
        <w:rPr>
          <w:rFonts w:hint="default" w:ascii="仿宋_GB2312" w:hAnsi="仿宋_GB2312" w:eastAsia="仿宋_GB2312" w:cs="仿宋_GB2312"/>
          <w:sz w:val="32"/>
          <w:szCs w:val="32"/>
          <w:highlight w:val="none"/>
        </w:rPr>
        <w:t>≤</w:t>
      </w:r>
      <w:r>
        <w:rPr>
          <w:rFonts w:hint="default"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（十）土地用途为：</w:t>
      </w:r>
      <w:r>
        <w:rPr>
          <w:rFonts w:hint="eastAsia" w:ascii="仿宋_GB2312" w:hAnsi="仿宋_GB2312" w:eastAsia="仿宋_GB2312" w:cs="仿宋_GB2312"/>
          <w:sz w:val="32"/>
          <w:szCs w:val="32"/>
          <w:highlight w:val="none"/>
          <w:lang w:eastAsia="zh-CN"/>
        </w:rPr>
        <w:t>中小学用地兼容社会停车场</w:t>
      </w:r>
      <w:r>
        <w:rPr>
          <w:rFonts w:hint="eastAsia" w:ascii="仿宋_GB2312" w:hAnsi="仿宋_GB2312" w:eastAsia="仿宋_GB2312" w:cs="仿宋_GB2312"/>
          <w:sz w:val="32"/>
          <w:szCs w:val="32"/>
          <w:highlight w:val="none"/>
        </w:rPr>
        <w:t>用地；</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）土地使用权出让年期为：交通服务场站用地50年；</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（十</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）适建性：</w:t>
      </w:r>
      <w:r>
        <w:rPr>
          <w:rFonts w:hint="eastAsia" w:ascii="仿宋_GB2312" w:hAnsi="仿宋_GB2312" w:eastAsia="仿宋_GB2312" w:cs="仿宋_GB2312"/>
          <w:sz w:val="32"/>
          <w:szCs w:val="32"/>
          <w:highlight w:val="none"/>
          <w:lang w:val="en-US" w:eastAsia="zh-CN"/>
        </w:rPr>
        <w:t>室外运动场、地下二层自走式停车库</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及配套设施</w:t>
      </w:r>
      <w:r>
        <w:rPr>
          <w:rFonts w:hint="eastAsia" w:ascii="仿宋_GB2312" w:hAnsi="仿宋_GB2312" w:eastAsia="仿宋_GB2312" w:cs="仿宋_GB2312"/>
          <w:sz w:val="32"/>
          <w:szCs w:val="32"/>
          <w:highlight w:val="none"/>
        </w:rPr>
        <w:t>；</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十三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机动车停车位</w:t>
      </w:r>
      <w:r>
        <w:rPr>
          <w:rFonts w:hint="eastAsia" w:ascii="仿宋_GB2312" w:hAnsi="仿宋_GB2312" w:eastAsia="仿宋_GB2312" w:cs="仿宋_GB2312"/>
          <w:sz w:val="32"/>
          <w:szCs w:val="32"/>
          <w:lang w:eastAsia="zh-CN"/>
        </w:rPr>
        <w:t>：地下公共停车位≥</w:t>
      </w:r>
      <w:r>
        <w:rPr>
          <w:rFonts w:hint="eastAsia" w:ascii="仿宋_GB2312" w:hAnsi="仿宋_GB2312" w:eastAsia="仿宋_GB2312" w:cs="仿宋_GB2312"/>
          <w:sz w:val="32"/>
          <w:szCs w:val="32"/>
          <w:lang w:val="en-US" w:eastAsia="zh-CN"/>
        </w:rPr>
        <w:t>690</w:t>
      </w:r>
      <w:r>
        <w:rPr>
          <w:rFonts w:hint="eastAsia" w:ascii="仿宋_GB2312" w:hAnsi="仿宋_GB2312" w:eastAsia="仿宋_GB2312" w:cs="仿宋_GB2312"/>
          <w:sz w:val="32"/>
          <w:szCs w:val="32"/>
          <w:lang w:eastAsia="zh-CN"/>
        </w:rPr>
        <w:t>个</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 动工及竣工时间：</w:t>
      </w:r>
      <w:r>
        <w:rPr>
          <w:rFonts w:hint="eastAsia" w:ascii="仿宋_GB2312" w:hAnsi="仿宋" w:eastAsia="仿宋_GB2312"/>
          <w:kern w:val="2"/>
          <w:sz w:val="32"/>
          <w:szCs w:val="32"/>
        </w:rPr>
        <w:t>地块交付之日起一年内，竣工时间为动工之日起三年内（因不可抗拒因素除外）</w:t>
      </w:r>
      <w:r>
        <w:rPr>
          <w:rFonts w:hint="eastAsia" w:ascii="仿宋_GB2312" w:hAnsi="仿宋_GB2312" w:eastAsia="仿宋_GB2312" w:cs="仿宋_GB2312"/>
          <w:sz w:val="32"/>
          <w:szCs w:val="32"/>
        </w:rPr>
        <w:t>；</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）竞得人在缴清地价款后一个月内办理交地手续，凭《交地确认书》、《出让合同》（正本）和地价款交款凭证等申请办理土地初始登记，领取《不动产权证书》。</w:t>
      </w:r>
      <w:r>
        <w:rPr>
          <w:rFonts w:hint="eastAsia" w:ascii="宋体" w:hAnsi="宋体" w:eastAsia="宋体" w:cs="宋体"/>
          <w:sz w:val="25"/>
          <w:szCs w:val="25"/>
        </w:rPr>
        <w:t xml:space="preserve"> </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四、土地开发及使用规定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（一）开发投资总额不少于</w:t>
      </w:r>
      <w:r>
        <w:rPr>
          <w:rFonts w:hint="eastAsia" w:ascii="仿宋_GB2312" w:hAnsi="仿宋_GB2312" w:eastAsia="仿宋_GB2312" w:cs="仿宋_GB2312"/>
          <w:color w:val="auto"/>
          <w:sz w:val="32"/>
          <w:szCs w:val="32"/>
          <w:lang w:val="en-US" w:eastAsia="zh-CN"/>
        </w:rPr>
        <w:t>9750</w:t>
      </w:r>
      <w:r>
        <w:rPr>
          <w:rFonts w:hint="eastAsia" w:ascii="仿宋_GB2312" w:hAnsi="仿宋_GB2312" w:eastAsia="仿宋_GB2312" w:cs="仿宋_GB2312"/>
          <w:sz w:val="32"/>
          <w:szCs w:val="32"/>
        </w:rPr>
        <w:t>万元（含地价,不含地价溢价部分）。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color w:val="auto"/>
          <w:sz w:val="32"/>
          <w:szCs w:val="32"/>
        </w:rPr>
        <w:t>土地成交价款须以人民币支付，竞得人须在签订《出让合同》之日起一个月内缴清土地成交价款。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（三）竞得人在用地红线内开发建设必须符合城市规划要求，必须按《</w:t>
      </w:r>
      <w:r>
        <w:rPr>
          <w:rFonts w:hint="eastAsia" w:ascii="仿宋_GB2312" w:hAnsi="仿宋_GB2312" w:eastAsia="仿宋_GB2312" w:cs="仿宋_GB2312"/>
          <w:color w:val="auto"/>
          <w:sz w:val="32"/>
          <w:szCs w:val="32"/>
          <w:lang w:eastAsia="zh-CN"/>
        </w:rPr>
        <w:t>建设用地规划设计条件</w:t>
      </w:r>
      <w:r>
        <w:rPr>
          <w:rFonts w:hint="eastAsia" w:ascii="仿宋_GB2312" w:hAnsi="仿宋_GB2312" w:eastAsia="仿宋_GB2312" w:cs="仿宋_GB2312"/>
          <w:color w:val="auto"/>
          <w:sz w:val="32"/>
          <w:szCs w:val="32"/>
        </w:rPr>
        <w:t>》（案卷编号：</w:t>
      </w:r>
      <w:r>
        <w:rPr>
          <w:rFonts w:hint="eastAsia" w:ascii="仿宋_GB2312" w:hAnsi="仿宋_GB2312" w:eastAsia="仿宋_GB2312" w:cs="仿宋_GB2312"/>
          <w:color w:val="auto"/>
          <w:sz w:val="32"/>
          <w:szCs w:val="32"/>
          <w:lang w:val="en-US" w:eastAsia="zh-CN"/>
        </w:rPr>
        <w:t>PB20210053</w:t>
      </w:r>
      <w:r>
        <w:rPr>
          <w:rFonts w:hint="eastAsia" w:ascii="仿宋_GB2312" w:hAnsi="仿宋_GB2312" w:eastAsia="仿宋_GB2312" w:cs="仿宋_GB2312"/>
          <w:color w:val="auto"/>
          <w:sz w:val="32"/>
          <w:szCs w:val="32"/>
        </w:rPr>
        <w:t>）规划控制指标要求及有关规定进行规划设计。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 w:eastAsia="仿宋_GB2312"/>
          <w:kern w:val="2"/>
          <w:sz w:val="32"/>
          <w:szCs w:val="32"/>
        </w:rPr>
        <w:t>该地权利清晰，安置补偿落实到位，没有法律经济纠纷，具备动工开发所必须的基本条件。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w:t>
      </w:r>
      <w:r>
        <w:rPr>
          <w:rFonts w:hint="eastAsia" w:ascii="Times New Roman" w:hAnsi="Times New Roman" w:eastAsia="仿宋_GB2312" w:cs="Times New Roman"/>
          <w:color w:val="auto"/>
          <w:sz w:val="32"/>
          <w:szCs w:val="32"/>
          <w:highlight w:val="none"/>
          <w:lang w:val="en-US" w:eastAsia="zh-CN" w:bidi="ar-SA"/>
        </w:rPr>
        <w:t>运动场包含室处跑道，运动场及看台，由取得地下停车场建设权的单位负责建设，并无偿移交给教育部门。</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五、竞买资格及要求</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中华人民共和国境内外的法人、自然人和其他组织（除法律法规另有规定外）均可申请参加竞买。申请人可以单独申请，也可以联合申请</w:t>
      </w:r>
      <w:r>
        <w:rPr>
          <w:rFonts w:hint="eastAsia" w:ascii="仿宋_GB2312" w:hAnsi="仿宋_GB2312" w:eastAsia="仿宋_GB2312" w:cs="仿宋_GB2312"/>
          <w:kern w:val="2"/>
          <w:sz w:val="32"/>
          <w:szCs w:val="32"/>
          <w:lang w:val="en-US" w:eastAsia="zh-CN" w:bidi="ar-SA"/>
        </w:rPr>
        <w:t>。申请人还应具备下列条件：</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按时足额交纳竞买保证金。该宗地竞买保证金可用人民币或外币（暂限于美元、港币）支付。以人民币缴交竞买保证金的，须缴交人民币855万元，如以外币缴交竞买保证金的，须缴交美元133万元、港币1032万元。</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预先办理数字证书。本次国有建设用地使用权网上挂牌出让只能在互联网上，通过惠州市公共资源交易中心土地与矿业网上挂牌交易系统（https://www.hzgtjy.com/，以下简称“网上挂牌交易系统”）进行。只有通过网上注册、办理数字证书、按要求足额交付竞买保证金的申请人，才能参加网上挂牌交易活动。</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（三）申请人及其控股股东存在下列违法、违规、违约行为之一的，不得参与上述地块竞买活动：</w:t>
      </w:r>
    </w:p>
    <w:p>
      <w:pPr>
        <w:pStyle w:val="3"/>
        <w:keepNext w:val="0"/>
        <w:keepLines w:val="0"/>
        <w:pageBreakBefore w:val="0"/>
        <w:widowControl w:val="0"/>
        <w:kinsoku/>
        <w:wordWrap/>
        <w:overflowPunct/>
        <w:topLinePunct w:val="0"/>
        <w:bidi w:val="0"/>
        <w:spacing w:before="0" w:line="560" w:lineRule="exact"/>
        <w:jc w:val="both"/>
        <w:textAlignment w:val="auto"/>
        <w:rPr>
          <w:rFonts w:hint="eastAsia" w:hAnsi="仿宋_GB2312" w:cs="仿宋_GB2312"/>
          <w:szCs w:val="32"/>
        </w:rPr>
      </w:pPr>
      <w:r>
        <w:rPr>
          <w:rFonts w:hint="eastAsia" w:hAnsi="仿宋_GB2312" w:cs="仿宋_GB2312"/>
          <w:szCs w:val="32"/>
        </w:rPr>
        <w:t>1、存在伪造公文骗取用地和非法倒卖土地等犯罪行为的；</w:t>
      </w:r>
    </w:p>
    <w:p>
      <w:pPr>
        <w:pStyle w:val="3"/>
        <w:keepNext w:val="0"/>
        <w:keepLines w:val="0"/>
        <w:pageBreakBefore w:val="0"/>
        <w:widowControl w:val="0"/>
        <w:kinsoku/>
        <w:wordWrap/>
        <w:overflowPunct/>
        <w:topLinePunct w:val="0"/>
        <w:bidi w:val="0"/>
        <w:spacing w:before="0" w:line="560" w:lineRule="exact"/>
        <w:jc w:val="both"/>
        <w:textAlignment w:val="auto"/>
        <w:rPr>
          <w:rFonts w:hint="eastAsia" w:hAnsi="仿宋_GB2312" w:cs="仿宋_GB2312"/>
          <w:szCs w:val="32"/>
        </w:rPr>
      </w:pPr>
      <w:r>
        <w:rPr>
          <w:rFonts w:hint="eastAsia" w:hAnsi="仿宋_GB2312" w:cs="仿宋_GB2312"/>
          <w:szCs w:val="32"/>
        </w:rPr>
        <w:t>2、存在非法转让土地使用权等违法行为的；</w:t>
      </w:r>
    </w:p>
    <w:p>
      <w:pPr>
        <w:pStyle w:val="3"/>
        <w:keepNext w:val="0"/>
        <w:keepLines w:val="0"/>
        <w:pageBreakBefore w:val="0"/>
        <w:widowControl w:val="0"/>
        <w:kinsoku/>
        <w:wordWrap/>
        <w:overflowPunct/>
        <w:topLinePunct w:val="0"/>
        <w:bidi w:val="0"/>
        <w:spacing w:before="0" w:line="560" w:lineRule="exact"/>
        <w:jc w:val="both"/>
        <w:textAlignment w:val="auto"/>
        <w:rPr>
          <w:rFonts w:hint="eastAsia" w:hAnsi="仿宋_GB2312" w:cs="仿宋_GB2312"/>
          <w:szCs w:val="32"/>
        </w:rPr>
      </w:pPr>
      <w:r>
        <w:rPr>
          <w:rFonts w:hint="eastAsia" w:hAnsi="仿宋_GB2312" w:cs="仿宋_GB2312"/>
          <w:szCs w:val="32"/>
        </w:rPr>
        <w:t>3、因企业原因造成土地闲置一年以上且至报名日止未处罚完结的；</w:t>
      </w:r>
    </w:p>
    <w:p>
      <w:pPr>
        <w:pStyle w:val="3"/>
        <w:keepNext w:val="0"/>
        <w:keepLines w:val="0"/>
        <w:pageBreakBefore w:val="0"/>
        <w:widowControl w:val="0"/>
        <w:kinsoku/>
        <w:wordWrap/>
        <w:overflowPunct/>
        <w:topLinePunct w:val="0"/>
        <w:bidi w:val="0"/>
        <w:spacing w:before="0" w:line="560" w:lineRule="exact"/>
        <w:jc w:val="both"/>
        <w:textAlignment w:val="auto"/>
        <w:rPr>
          <w:rFonts w:hint="eastAsia" w:hAnsi="仿宋_GB2312" w:cs="仿宋_GB2312"/>
          <w:szCs w:val="32"/>
        </w:rPr>
      </w:pPr>
      <w:r>
        <w:rPr>
          <w:rFonts w:hint="eastAsia" w:hAnsi="仿宋_GB2312" w:cs="仿宋_GB2312"/>
          <w:szCs w:val="32"/>
        </w:rPr>
        <w:t>4、开发建设企业有违背出让合同约定条件开发利用土地情形且至报名日止未处罚完结的；</w:t>
      </w:r>
    </w:p>
    <w:p>
      <w:pPr>
        <w:pStyle w:val="3"/>
        <w:keepNext w:val="0"/>
        <w:keepLines w:val="0"/>
        <w:pageBreakBefore w:val="0"/>
        <w:widowControl w:val="0"/>
        <w:kinsoku/>
        <w:wordWrap/>
        <w:overflowPunct/>
        <w:topLinePunct w:val="0"/>
        <w:bidi w:val="0"/>
        <w:spacing w:before="0" w:line="560" w:lineRule="exact"/>
        <w:jc w:val="both"/>
        <w:textAlignment w:val="auto"/>
        <w:rPr>
          <w:rFonts w:hint="eastAsia" w:hAnsi="仿宋_GB2312" w:cs="仿宋_GB2312"/>
          <w:szCs w:val="32"/>
        </w:rPr>
      </w:pPr>
      <w:r>
        <w:rPr>
          <w:rFonts w:hint="eastAsia" w:hAnsi="仿宋_GB2312" w:cs="仿宋_GB2312"/>
          <w:szCs w:val="32"/>
        </w:rPr>
        <w:t>5、至报名日止仍拖欠政府地价款的;</w:t>
      </w:r>
    </w:p>
    <w:p>
      <w:pPr>
        <w:pStyle w:val="3"/>
        <w:keepNext w:val="0"/>
        <w:keepLines w:val="0"/>
        <w:pageBreakBefore w:val="0"/>
        <w:widowControl w:val="0"/>
        <w:kinsoku/>
        <w:wordWrap/>
        <w:overflowPunct/>
        <w:topLinePunct w:val="0"/>
        <w:bidi w:val="0"/>
        <w:spacing w:before="0" w:line="560" w:lineRule="exact"/>
        <w:jc w:val="both"/>
        <w:textAlignment w:val="auto"/>
        <w:rPr>
          <w:rFonts w:hint="eastAsia" w:hAnsi="仿宋_GB2312" w:cs="仿宋_GB2312"/>
          <w:szCs w:val="32"/>
        </w:rPr>
      </w:pPr>
      <w:r>
        <w:rPr>
          <w:rFonts w:hint="eastAsia" w:hAnsi="仿宋_GB2312" w:cs="仿宋_GB2312"/>
          <w:szCs w:val="32"/>
        </w:rPr>
        <w:t>6、被列入问题楼盘开发企业黑名单的;</w:t>
      </w:r>
    </w:p>
    <w:p>
      <w:pPr>
        <w:pStyle w:val="3"/>
        <w:keepNext w:val="0"/>
        <w:keepLines w:val="0"/>
        <w:pageBreakBefore w:val="0"/>
        <w:widowControl w:val="0"/>
        <w:kinsoku/>
        <w:wordWrap/>
        <w:overflowPunct/>
        <w:topLinePunct w:val="0"/>
        <w:bidi w:val="0"/>
        <w:spacing w:before="0" w:line="560" w:lineRule="exact"/>
        <w:jc w:val="both"/>
        <w:textAlignment w:val="auto"/>
        <w:rPr>
          <w:rFonts w:hint="eastAsia" w:ascii="仿宋_GB2312" w:hAnsi="仿宋_GB2312" w:eastAsia="仿宋_GB2312" w:cs="仿宋_GB2312"/>
          <w:sz w:val="32"/>
          <w:szCs w:val="32"/>
        </w:rPr>
      </w:pPr>
      <w:r>
        <w:rPr>
          <w:rFonts w:hint="eastAsia" w:hAnsi="仿宋_GB2312" w:cs="仿宋_GB2312"/>
          <w:szCs w:val="32"/>
        </w:rPr>
        <w:t>7、存在其它被禁止竞买土地行为的。</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六、违约及处理</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default" w:ascii="Times New Roman" w:hAnsi="Times New Roman" w:eastAsia="仿宋_GB2312" w:cs="Times New Roman"/>
          <w:sz w:val="32"/>
          <w:szCs w:val="32"/>
        </w:rPr>
        <w:t>竞得人有下列行为之一的，取消竞得人资格，</w:t>
      </w:r>
      <w:r>
        <w:rPr>
          <w:rFonts w:hint="default" w:ascii="Times New Roman" w:hAnsi="Times New Roman" w:eastAsia="仿宋_GB2312" w:cs="Times New Roman"/>
          <w:sz w:val="32"/>
          <w:szCs w:val="32"/>
          <w:lang w:val="en-US" w:eastAsia="zh-CN"/>
        </w:rPr>
        <w:t>竞买保证金不予退还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并由有关部门依法处理，</w:t>
      </w:r>
      <w:r>
        <w:rPr>
          <w:rFonts w:hint="default" w:ascii="Times New Roman" w:hAnsi="Times New Roman" w:eastAsia="仿宋_GB2312" w:cs="Times New Roman"/>
          <w:sz w:val="32"/>
          <w:szCs w:val="32"/>
        </w:rPr>
        <w:t>造成损失的，竞得人还应依法承担赔偿责任</w:t>
      </w:r>
      <w:r>
        <w:rPr>
          <w:rFonts w:hint="eastAsia" w:ascii="仿宋_GB2312" w:hAnsi="仿宋_GB2312" w:eastAsia="仿宋_GB2312" w:cs="仿宋_GB2312"/>
          <w:kern w:val="2"/>
          <w:sz w:val="32"/>
          <w:szCs w:val="32"/>
          <w:lang w:val="en-US" w:eastAsia="zh-CN" w:bidi="ar-SA"/>
        </w:rPr>
        <w:t>：</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（一）不符合竞买资格条件的。</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（二）采取行贿、恶意串通等非法手段竞得的。</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（三）竞得人以其他非法手段竞得的。</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（四）竞得人逾期或拒绝签订《成交确认书》的。</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（五）竞得人逾期或拒绝签订《出让合同》的。</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（六）不按本须知规定提供有关纸质文件材料，或提供虚假文件材料、隐瞒重要事实，引起交易纠纷的。</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pPr>
      <w:r>
        <w:rPr>
          <w:rFonts w:hint="eastAsia" w:ascii="仿宋_GB2312" w:hAnsi="仿宋_GB2312" w:eastAsia="仿宋_GB2312" w:cs="仿宋_GB2312"/>
          <w:kern w:val="2"/>
          <w:sz w:val="32"/>
          <w:szCs w:val="32"/>
          <w:lang w:val="en-US" w:eastAsia="zh-CN" w:bidi="ar-SA"/>
        </w:rPr>
        <w:t>（七）构成违约责任的其他行为。</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pPr>
      <w:r>
        <w:rPr>
          <w:rFonts w:hint="eastAsia" w:ascii="仿宋_GB2312" w:hAnsi="仿宋_GB2312" w:eastAsia="仿宋_GB2312" w:cs="仿宋_GB2312"/>
          <w:b/>
          <w:bCs/>
          <w:kern w:val="2"/>
          <w:sz w:val="32"/>
          <w:szCs w:val="32"/>
          <w:lang w:val="en-US" w:eastAsia="zh-CN" w:bidi="ar-SA"/>
        </w:rPr>
        <w:t>七、网上挂牌出让地块的起始价、增加幅度</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仿宋_GB2312" w:eastAsia="仿宋_GB2312" w:cs="仿宋_GB2312"/>
          <w:kern w:val="2"/>
          <w:sz w:val="32"/>
          <w:szCs w:val="32"/>
          <w:lang w:val="en-US" w:eastAsia="zh-CN" w:bidi="ar-SA"/>
        </w:rPr>
        <w:t>挂牌起始价为人民币</w:t>
      </w:r>
      <w:r>
        <w:rPr>
          <w:rFonts w:hint="eastAsia" w:ascii="仿宋_GB2312" w:hAnsi="仿宋_GB2312" w:eastAsia="仿宋_GB2312" w:cs="仿宋_GB2312"/>
          <w:kern w:val="2"/>
          <w:sz w:val="32"/>
          <w:szCs w:val="32"/>
          <w:u w:val="single"/>
          <w:lang w:val="en-US" w:eastAsia="zh-CN" w:bidi="ar-SA"/>
        </w:rPr>
        <w:t>贰仟捌佰伍拾元整</w:t>
      </w:r>
      <w:r>
        <w:rPr>
          <w:rFonts w:hint="eastAsia" w:ascii="仿宋_GB2312" w:hAnsi="仿宋_GB2312" w:eastAsia="仿宋_GB2312" w:cs="仿宋_GB2312"/>
          <w:kern w:val="2"/>
          <w:sz w:val="32"/>
          <w:szCs w:val="32"/>
          <w:lang w:val="en-US" w:eastAsia="zh-CN" w:bidi="ar-SA"/>
        </w:rPr>
        <w:t>（大写）（￥</w:t>
      </w:r>
      <w:r>
        <w:rPr>
          <w:rFonts w:hint="eastAsia" w:ascii="仿宋_GB2312" w:hAnsi="仿宋_GB2312" w:eastAsia="仿宋_GB2312" w:cs="仿宋_GB2312"/>
          <w:kern w:val="2"/>
          <w:sz w:val="32"/>
          <w:szCs w:val="32"/>
          <w:u w:val="single"/>
          <w:lang w:val="en-US" w:eastAsia="zh-CN" w:bidi="ar-SA"/>
        </w:rPr>
        <w:t>2850</w:t>
      </w:r>
      <w:r>
        <w:rPr>
          <w:rFonts w:hint="eastAsia" w:ascii="仿宋_GB2312" w:hAnsi="仿宋_GB2312" w:eastAsia="仿宋_GB2312" w:cs="仿宋_GB2312"/>
          <w:kern w:val="2"/>
          <w:sz w:val="32"/>
          <w:szCs w:val="32"/>
          <w:lang w:val="en-US" w:eastAsia="zh-CN" w:bidi="ar-SA"/>
        </w:rPr>
        <w:t>万元）,增价幅度为人民币</w:t>
      </w:r>
      <w:r>
        <w:rPr>
          <w:rFonts w:hint="eastAsia" w:ascii="仿宋_GB2312" w:hAnsi="仿宋_GB2312" w:eastAsia="仿宋_GB2312" w:cs="仿宋_GB2312"/>
          <w:kern w:val="2"/>
          <w:sz w:val="32"/>
          <w:szCs w:val="32"/>
          <w:u w:val="single"/>
          <w:lang w:val="en-US" w:eastAsia="zh-CN" w:bidi="ar-SA"/>
        </w:rPr>
        <w:t>伍拾万元</w:t>
      </w:r>
      <w:r>
        <w:rPr>
          <w:rFonts w:hint="eastAsia" w:ascii="仿宋_GB2312" w:hAnsi="仿宋_GB2312" w:eastAsia="仿宋_GB2312" w:cs="仿宋_GB2312"/>
          <w:kern w:val="2"/>
          <w:sz w:val="32"/>
          <w:szCs w:val="32"/>
          <w:lang w:val="en-US" w:eastAsia="zh-CN" w:bidi="ar-SA"/>
        </w:rPr>
        <w:t>（大写）（￥</w:t>
      </w:r>
      <w:r>
        <w:rPr>
          <w:rFonts w:hint="eastAsia" w:ascii="仿宋_GB2312" w:hAnsi="仿宋_GB2312" w:eastAsia="仿宋_GB2312" w:cs="仿宋_GB2312"/>
          <w:kern w:val="2"/>
          <w:sz w:val="32"/>
          <w:szCs w:val="32"/>
          <w:u w:val="single"/>
          <w:lang w:val="en-US" w:eastAsia="zh-CN" w:bidi="ar-SA"/>
        </w:rPr>
        <w:t>50</w:t>
      </w:r>
      <w:r>
        <w:rPr>
          <w:rFonts w:hint="eastAsia" w:ascii="仿宋_GB2312" w:hAnsi="仿宋_GB2312" w:eastAsia="仿宋_GB2312" w:cs="仿宋_GB2312"/>
          <w:kern w:val="2"/>
          <w:sz w:val="32"/>
          <w:szCs w:val="32"/>
          <w:lang w:val="en-US" w:eastAsia="zh-CN" w:bidi="ar-SA"/>
        </w:rPr>
        <w:t>万元）。</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pPr>
      <w:r>
        <w:rPr>
          <w:rFonts w:hint="eastAsia" w:ascii="仿宋_GB2312" w:hAnsi="仿宋_GB2312" w:eastAsia="仿宋_GB2312" w:cs="仿宋_GB2312"/>
          <w:b/>
          <w:bCs/>
          <w:kern w:val="2"/>
          <w:sz w:val="32"/>
          <w:szCs w:val="32"/>
          <w:lang w:val="en-US" w:eastAsia="zh-CN" w:bidi="ar-SA"/>
        </w:rPr>
        <w:t>八、本次网上挂牌出让活动有关时间</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网上挂牌时间为10个工作日，不包括法定节假日。具体如下：</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（一）网上挂牌起始时间：2021年11月9日9时。</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（二）网上挂牌截止时间：2021年11月23日10时。</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（三）网上挂牌交纳保证金截止时间：2021年11月23日9时。</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仿宋_GB2312" w:eastAsia="仿宋_GB2312" w:cs="仿宋_GB2312"/>
          <w:kern w:val="2"/>
          <w:sz w:val="32"/>
          <w:szCs w:val="32"/>
          <w:lang w:val="en-US" w:eastAsia="zh-CN" w:bidi="ar-SA"/>
        </w:rPr>
        <w:t>（四）网上挂牌报价时间：网上挂牌起止时间内。</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pPr>
      <w:r>
        <w:rPr>
          <w:rFonts w:hint="eastAsia" w:ascii="仿宋_GB2312" w:hAnsi="仿宋_GB2312" w:eastAsia="仿宋_GB2312" w:cs="仿宋_GB2312"/>
          <w:b/>
          <w:bCs/>
          <w:kern w:val="2"/>
          <w:sz w:val="32"/>
          <w:szCs w:val="32"/>
          <w:lang w:val="en-US" w:eastAsia="zh-CN" w:bidi="ar-SA"/>
        </w:rPr>
        <w:t>九、挂牌文件获取</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申请人可在网上挂牌交易系统浏览或下载本次网上挂牌出让文件，具体包括：</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惠州市国有建设用地使用权网上挂牌出让公告；</w:t>
      </w:r>
    </w:p>
    <w:p>
      <w:pPr>
        <w:tabs>
          <w:tab w:val="left" w:pos="3388"/>
        </w:tabs>
        <w:spacing w:line="560" w:lineRule="exact"/>
        <w:ind w:firstLine="64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2、惠州市国有建设用地使用权网上挂牌出让须知；</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挂牌出让地块现状图；</w:t>
      </w:r>
    </w:p>
    <w:p>
      <w:pPr>
        <w:tabs>
          <w:tab w:val="left" w:pos="3388"/>
        </w:tabs>
        <w:spacing w:line="560" w:lineRule="exact"/>
        <w:ind w:firstLine="64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4、红线图；</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color w:val="auto"/>
          <w:sz w:val="32"/>
          <w:szCs w:val="32"/>
        </w:rPr>
        <w:t>《建设用地规划设计条件》（案卷编号：PB202100</w:t>
      </w:r>
      <w:r>
        <w:rPr>
          <w:rFonts w:hint="eastAsia" w:ascii="仿宋_GB2312" w:hAnsi="仿宋_GB2312" w:eastAsia="仿宋_GB2312" w:cs="仿宋_GB2312"/>
          <w:color w:val="auto"/>
          <w:sz w:val="32"/>
          <w:szCs w:val="32"/>
          <w:lang w:val="en-US" w:eastAsia="zh-CN"/>
        </w:rPr>
        <w:t>53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惠州市</w:t>
      </w:r>
      <w:r>
        <w:rPr>
          <w:rFonts w:hint="eastAsia" w:ascii="仿宋_GB2312" w:hAnsi="仿宋_GB2312" w:eastAsia="仿宋_GB2312" w:cs="仿宋_GB2312"/>
          <w:sz w:val="32"/>
          <w:szCs w:val="32"/>
          <w:lang w:val="en-US" w:eastAsia="zh-CN"/>
        </w:rPr>
        <w:t>国有建设用地使用权电子挂牌</w:t>
      </w:r>
      <w:r>
        <w:rPr>
          <w:rFonts w:hint="eastAsia" w:ascii="仿宋_GB2312" w:hAnsi="仿宋_GB2312" w:eastAsia="仿宋_GB2312" w:cs="仿宋_GB2312"/>
          <w:sz w:val="32"/>
          <w:szCs w:val="32"/>
        </w:rPr>
        <w:t>交易成交</w:t>
      </w:r>
      <w:r>
        <w:rPr>
          <w:rFonts w:hint="eastAsia" w:ascii="仿宋_GB2312" w:hAnsi="仿宋_GB2312" w:eastAsia="仿宋_GB2312" w:cs="仿宋_GB2312"/>
          <w:sz w:val="32"/>
          <w:szCs w:val="32"/>
          <w:lang w:val="en-US" w:eastAsia="zh-CN"/>
        </w:rPr>
        <w:t>确认</w:t>
      </w:r>
      <w:r>
        <w:rPr>
          <w:rFonts w:hint="eastAsia" w:ascii="仿宋_GB2312" w:hAnsi="仿宋_GB2312" w:eastAsia="仿宋_GB2312" w:cs="仿宋_GB2312"/>
          <w:sz w:val="32"/>
          <w:szCs w:val="32"/>
        </w:rPr>
        <w:t>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（以下简称“成交</w:t>
      </w:r>
      <w:r>
        <w:rPr>
          <w:rFonts w:hint="eastAsia" w:ascii="仿宋_GB2312" w:hAnsi="仿宋_GB2312" w:eastAsia="仿宋_GB2312" w:cs="仿宋_GB2312"/>
          <w:sz w:val="32"/>
          <w:szCs w:val="32"/>
          <w:lang w:val="en-US" w:eastAsia="zh-CN"/>
        </w:rPr>
        <w:t>确认</w:t>
      </w:r>
      <w:r>
        <w:rPr>
          <w:rFonts w:hint="eastAsia" w:ascii="仿宋_GB2312" w:hAnsi="仿宋_GB2312" w:eastAsia="仿宋_GB2312" w:cs="仿宋_GB2312"/>
          <w:sz w:val="32"/>
          <w:szCs w:val="32"/>
        </w:rPr>
        <w:t>书”）样本；</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《国有建设用地使用权出让合同》（以下简称“出让合同”）样本；</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仿宋_GB2312" w:eastAsia="仿宋_GB2312" w:cs="仿宋_GB2312"/>
          <w:sz w:val="32"/>
          <w:szCs w:val="32"/>
          <w:lang w:val="en-US" w:eastAsia="zh-CN"/>
        </w:rPr>
        <w:t>8、其他相关文件</w:t>
      </w:r>
      <w:r>
        <w:rPr>
          <w:rFonts w:hint="eastAsia" w:ascii="仿宋_GB2312" w:hAnsi="仿宋_GB2312" w:eastAsia="仿宋_GB2312" w:cs="仿宋_GB2312"/>
          <w:kern w:val="2"/>
          <w:sz w:val="32"/>
          <w:szCs w:val="32"/>
          <w:lang w:val="en-US" w:eastAsia="zh-CN" w:bidi="ar-SA"/>
        </w:rPr>
        <w:t>。</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pPr>
      <w:r>
        <w:rPr>
          <w:rFonts w:hint="eastAsia" w:ascii="仿宋_GB2312" w:hAnsi="仿宋_GB2312" w:eastAsia="仿宋_GB2312" w:cs="仿宋_GB2312"/>
          <w:b/>
          <w:bCs/>
          <w:kern w:val="2"/>
          <w:sz w:val="32"/>
          <w:szCs w:val="32"/>
          <w:lang w:val="en-US" w:eastAsia="zh-CN" w:bidi="ar-SA"/>
        </w:rPr>
        <w:t>十、办理数字证书</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w:t>
      </w:r>
      <w:r>
        <w:rPr>
          <w:rFonts w:hint="eastAsia" w:ascii="仿宋_GB2312" w:hAnsi="仿宋_GB2312" w:eastAsia="仿宋_GB2312" w:cs="仿宋_GB2312"/>
          <w:sz w:val="32"/>
          <w:szCs w:val="32"/>
        </w:rPr>
        <w:t>0752-7121029</w:t>
      </w:r>
      <w:r>
        <w:rPr>
          <w:rFonts w:hint="eastAsia" w:ascii="仿宋_GB2312" w:hAnsi="仿宋_GB2312" w:eastAsia="仿宋_GB2312" w:cs="仿宋_GB2312"/>
          <w:sz w:val="32"/>
          <w:szCs w:val="32"/>
          <w:highlight w:val="none"/>
        </w:rPr>
        <w:t>）申请办理。</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数字证书的办理流程详见网上挂牌交易系统上的《数字证书办理指南》</w:t>
      </w:r>
      <w:r>
        <w:rPr>
          <w:rFonts w:hint="eastAsia" w:ascii="仿宋_GB2312" w:hAnsi="仿宋_GB2312" w:eastAsia="仿宋_GB2312" w:cs="仿宋_GB2312"/>
          <w:sz w:val="32"/>
          <w:szCs w:val="32"/>
        </w:rPr>
        <w:t>。</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pPr>
      <w:r>
        <w:rPr>
          <w:rFonts w:hint="eastAsia" w:ascii="仿宋_GB2312" w:hAnsi="仿宋_GB2312" w:eastAsia="仿宋_GB2312" w:cs="仿宋_GB2312"/>
          <w:b/>
          <w:bCs/>
          <w:kern w:val="2"/>
          <w:sz w:val="32"/>
          <w:szCs w:val="32"/>
          <w:lang w:val="en-US" w:eastAsia="zh-CN" w:bidi="ar-SA"/>
        </w:rPr>
        <w:t>十一、答疑及现场踏勘</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申请人对网上挂牌出让文件有疑问的，可在网上挂牌活动开始前以书面或者口头方式向本中心咨询。有意竞买者可自行踏勘现场。（可在网上查阅位置图和现状图）。</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十二、竞买保证金</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（一）竞买保证金是申请人参加网上挂牌交易活动的资格条件。按规定将竞买保证金汇入指定账户，是参加网上挂牌交易活动的必经程序。</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（二）本宗地竞买保证金到账截止时间为2021年 11月23</w:t>
      </w:r>
      <w:bookmarkStart w:id="0" w:name="_GoBack"/>
      <w:bookmarkEnd w:id="0"/>
      <w:r>
        <w:rPr>
          <w:rFonts w:hint="eastAsia" w:ascii="仿宋_GB2312" w:hAnsi="仿宋_GB2312" w:eastAsia="仿宋_GB2312" w:cs="仿宋_GB2312"/>
          <w:kern w:val="2"/>
          <w:sz w:val="32"/>
          <w:szCs w:val="32"/>
          <w:lang w:val="en-US" w:eastAsia="zh-CN" w:bidi="ar-SA"/>
        </w:rPr>
        <w:t>日9时整，竞买保证金为人民币</w:t>
      </w:r>
      <w:r>
        <w:rPr>
          <w:rFonts w:hint="eastAsia" w:ascii="仿宋_GB2312" w:hAnsi="仿宋_GB2312" w:eastAsia="仿宋_GB2312" w:cs="仿宋_GB2312"/>
          <w:kern w:val="2"/>
          <w:sz w:val="32"/>
          <w:szCs w:val="32"/>
          <w:u w:val="single"/>
          <w:lang w:val="en-US" w:eastAsia="zh-CN" w:bidi="ar-SA"/>
        </w:rPr>
        <w:t>捌佰捌拾伍万元整</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u w:val="single"/>
          <w:lang w:val="en-US" w:eastAsia="zh-CN" w:bidi="ar-SA"/>
        </w:rPr>
        <w:t>885</w:t>
      </w:r>
      <w:r>
        <w:rPr>
          <w:rFonts w:hint="eastAsia" w:ascii="仿宋_GB2312" w:hAnsi="仿宋_GB2312" w:eastAsia="仿宋_GB2312" w:cs="仿宋_GB2312"/>
          <w:kern w:val="2"/>
          <w:sz w:val="32"/>
          <w:szCs w:val="32"/>
          <w:lang w:val="en-US" w:eastAsia="zh-CN" w:bidi="ar-SA"/>
        </w:rPr>
        <w:t>万元）；如以外币缴交竞买保证金的，须缴交美元</w:t>
      </w:r>
      <w:r>
        <w:rPr>
          <w:rFonts w:hint="eastAsia" w:ascii="仿宋_GB2312" w:hAnsi="仿宋_GB2312" w:eastAsia="仿宋_GB2312" w:cs="仿宋_GB2312"/>
          <w:kern w:val="2"/>
          <w:sz w:val="32"/>
          <w:szCs w:val="32"/>
          <w:u w:val="single"/>
          <w:lang w:val="en-US" w:eastAsia="zh-CN" w:bidi="ar-SA"/>
        </w:rPr>
        <w:t>壹佰叁拾叁万元整</w:t>
      </w:r>
      <w:r>
        <w:rPr>
          <w:rFonts w:hint="eastAsia" w:ascii="仿宋_GB2312" w:hAnsi="仿宋_GB2312" w:eastAsia="仿宋_GB2312" w:cs="仿宋_GB2312"/>
          <w:kern w:val="2"/>
          <w:sz w:val="32"/>
          <w:szCs w:val="32"/>
          <w:lang w:val="en-US" w:eastAsia="zh-CN" w:bidi="ar-SA"/>
        </w:rPr>
        <w:t>(USD</w:t>
      </w:r>
      <w:r>
        <w:rPr>
          <w:rFonts w:hint="eastAsia" w:ascii="仿宋_GB2312" w:hAnsi="仿宋_GB2312" w:eastAsia="仿宋_GB2312" w:cs="仿宋_GB2312"/>
          <w:kern w:val="2"/>
          <w:sz w:val="32"/>
          <w:szCs w:val="32"/>
          <w:u w:val="single"/>
          <w:lang w:val="en-US" w:eastAsia="zh-CN" w:bidi="ar-SA"/>
        </w:rPr>
        <w:t>133</w:t>
      </w:r>
      <w:r>
        <w:rPr>
          <w:rFonts w:hint="eastAsia" w:ascii="仿宋_GB2312" w:hAnsi="仿宋_GB2312" w:eastAsia="仿宋_GB2312" w:cs="仿宋_GB2312"/>
          <w:kern w:val="2"/>
          <w:sz w:val="32"/>
          <w:szCs w:val="32"/>
          <w:lang w:val="en-US" w:eastAsia="zh-CN" w:bidi="ar-SA"/>
        </w:rPr>
        <w:t>万元）或港币</w:t>
      </w:r>
      <w:r>
        <w:rPr>
          <w:rFonts w:hint="eastAsia" w:ascii="仿宋_GB2312" w:hAnsi="仿宋_GB2312" w:eastAsia="仿宋_GB2312" w:cs="仿宋_GB2312"/>
          <w:kern w:val="2"/>
          <w:sz w:val="32"/>
          <w:szCs w:val="32"/>
          <w:u w:val="single"/>
          <w:lang w:val="en-US" w:eastAsia="zh-CN" w:bidi="ar-SA"/>
        </w:rPr>
        <w:t>壹仟零叁拾贰万元整</w:t>
      </w:r>
      <w:r>
        <w:rPr>
          <w:rFonts w:hint="eastAsia" w:ascii="仿宋_GB2312" w:hAnsi="仿宋_GB2312" w:eastAsia="仿宋_GB2312" w:cs="仿宋_GB2312"/>
          <w:kern w:val="2"/>
          <w:sz w:val="32"/>
          <w:szCs w:val="32"/>
          <w:lang w:val="en-US" w:eastAsia="zh-CN" w:bidi="ar-SA"/>
        </w:rPr>
        <w:t>(HKD</w:t>
      </w:r>
      <w:r>
        <w:rPr>
          <w:rFonts w:hint="eastAsia" w:ascii="仿宋_GB2312" w:hAnsi="仿宋_GB2312" w:eastAsia="仿宋_GB2312" w:cs="仿宋_GB2312"/>
          <w:kern w:val="2"/>
          <w:sz w:val="32"/>
          <w:szCs w:val="32"/>
          <w:u w:val="single"/>
          <w:lang w:val="en-US" w:eastAsia="zh-CN" w:bidi="ar-SA"/>
        </w:rPr>
        <w:t>1032</w:t>
      </w:r>
      <w:r>
        <w:rPr>
          <w:rFonts w:hint="eastAsia" w:ascii="仿宋_GB2312" w:hAnsi="仿宋_GB2312" w:eastAsia="仿宋_GB2312" w:cs="仿宋_GB2312"/>
          <w:kern w:val="2"/>
          <w:sz w:val="32"/>
          <w:szCs w:val="32"/>
          <w:lang w:val="en-US" w:eastAsia="zh-CN" w:bidi="ar-SA"/>
        </w:rPr>
        <w:t>万元）。</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（三）竞买人应当提前交纳竞买保证金以确保在到账截止时间前到账，超过到账截止时间的保证金，网上挂牌交易系统将不予受理，造成的损失由竞买人自行承担。</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（四）跨地区或跨行转账的竞买人，需预足资金的在途时间，以免影响竞买人及时取得竞买资格。</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（五）竞买保证金到账时间以网上挂牌交易系统颁发《保证金到账通知书》为准。</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（六）竞买保证金开户单位：惠州市公共资源交易中心</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竞买保证金账号：网上挂牌交易系统随机产生子账号。</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开户银行：</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1、中国建设银行惠州广场支行。</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2、中国银行惠州分行。</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3、中国工商银行股份有限公司惠州富力国际中心支行 。</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4、中国农业银行惠州分行。</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5、广发银行惠州江北支行。</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6、交通银行惠州分行。</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7、惠州市农村商业银行股份有限公司惠城支行。</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8、上海浦东发展银行股份有限公司惠州分行 。</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9、中国民生银行股份有限公司惠州分行。</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10、中国光大银行股份有限公司惠州分行。</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仿宋_GB2312" w:eastAsia="仿宋_GB2312" w:cs="仿宋_GB2312"/>
          <w:kern w:val="2"/>
          <w:sz w:val="32"/>
          <w:szCs w:val="32"/>
          <w:lang w:val="en-US" w:eastAsia="zh-CN" w:bidi="ar-SA"/>
        </w:rPr>
        <w:t>11、中信银行股份有限公司惠州分行。(备注:中信银行股份有限公司惠州分行本行转账须到银行柜面办理)。</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pPr>
      <w:r>
        <w:rPr>
          <w:rFonts w:hint="eastAsia" w:ascii="仿宋_GB2312" w:hAnsi="仿宋_GB2312" w:eastAsia="仿宋_GB2312" w:cs="仿宋_GB2312"/>
          <w:b/>
          <w:bCs/>
          <w:kern w:val="2"/>
          <w:sz w:val="32"/>
          <w:szCs w:val="32"/>
          <w:lang w:val="en-US" w:eastAsia="zh-CN" w:bidi="ar-SA"/>
        </w:rPr>
        <w:t>十三、网上报价规则</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（一）本次网上挂牌以增价方式进行报价，每次加价幅度为本须知规定增价幅度的整数倍。</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（二）竞买人的首次报价不低于起始价，此后的竞买人报价须高于报价当时的最新网上挂牌价格，并以增价幅度的整数倍加价。</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（三）竞买人通过网上挂牌交易提交的报价一经报出，不得撤回。</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（四）在报价期间，竞买人可多次报价。</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（五）在报价期内，竞买人必须进行一次有效报价，才能参加网上限时竞价。</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（六）竞买人报价有下列情形之一的，为无效报价：</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1、报价未在网上挂牌期限内收到的。</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2、报价因竞买人网络故障未在网上挂牌报价期限内收到的。</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3、报价不符合报价规则的。</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4、报价低于网上挂牌起始价的。</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5、报价不符合网上挂牌公告、须知及相关交易文件规定的其他情形。</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pPr>
      <w:r>
        <w:rPr>
          <w:rFonts w:hint="eastAsia" w:ascii="仿宋_GB2312" w:hAnsi="仿宋_GB2312" w:eastAsia="仿宋_GB2312" w:cs="仿宋_GB2312"/>
          <w:b/>
          <w:bCs/>
          <w:kern w:val="2"/>
          <w:sz w:val="32"/>
          <w:szCs w:val="32"/>
          <w:lang w:val="en-US" w:eastAsia="zh-CN" w:bidi="ar-SA"/>
        </w:rPr>
        <w:t>十四、系统操作</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土地与矿业交易系统竞买人操作视频可在本中心网上挂牌交易系统（https://www.hzgtjy.com/）下载。</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十五、网上挂牌程序</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（一）公布网上挂牌信息</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我中心将有关宗地的位置、面积、用途、使用年期、规划要求、起始价、增价规则及增价幅度等予以公布。</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有意竞买者可登陆惠州市公共资源交易中心土地与矿业网上挂牌交易系统网站(https://www.hzgtjy.com/)查询。</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（二）申请竞买</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办理好数字证书的申请人决定参加本宗地网上挂牌竞买的，应按网上挂牌交易系统要求填写真实有效的申请人身份等相关信息并向网上挂牌交易系统提交申请书。企业对本宗地进行联合竞买的，应当按要求如实填写联合竞买各方的相关信息和出资比例。</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（三）交纳保证金</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申请人应根据网上挂牌交易系统生成的随机保证金账号按时足额交纳竞买保证金。竞买保证金应当以申请人的身份交纳，网上挂牌交易系统在接受竞买保证金时，仅以此随机保证金账号作为识别竞买人身份的依据，并在竞买保证金确认到账之后，赋予竞买人对应宗地的竞买权限。（详见本《须知》第十二条。） </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（四）网上挂牌报价</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1、网上挂牌交易从网上挂牌起始时间起开始接受报价。</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2、办理好数字证书、按时足额交付竞买保证金并经网上挂牌交易系统确认的竞买人通过网上挂牌交易系统进行报价。</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3、网上挂牌交易系统对符合规定的报价予以确认，并更新显示当前报价。</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4、网上挂牌交易系统继续接受新的报价。</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5、网上挂牌报价规则见《须知》第十三条。</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（五）网上挂牌截止</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1、网上挂牌交易系统将在网上挂牌截止时间自动确定网上挂牌截止。</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2、网上挂牌交易期限截止时，无人报价的，挂牌不成交。</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3、网上挂牌交易期限截止时，只有1个竞买人报价，且报价不低于起始价的，挂牌成交，该报价者为竞得人。</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有2个或者2个以上竞买人报价的，挂牌截止后5分钟为限时竞价询问期。询问期间，若竞买人选择参加限时竞价的，须选择“继续”按钮，若竞买人选择不参加的，须选择“放弃”按钮，竞买人在询问期5分钟内未做出选择，则系统默认其选择参加限时竞价。</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经网上挂牌交易系统询问完毕后，有竞买人愿意参加网上限时竞价的，网上挂牌交易系统开始第一次5分钟倒计时的限时竞价，竞买人应严格按照报价规则参加限时竞价。如在5分钟内的任一时点有新的报价，网上挂牌交易系统即从此时点起再顺延一个5分钟，供竞买人作新一轮竞价，并按此方式不断顺延下去。5分钟限时竞价内没有新的报价，网上挂牌交易系统将自动关闭报价通道，当前最高报价为最终报价，网上挂牌交易系统确认最高报价者为竞得人。</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网上限时竞价中无人报价的，以网上挂牌截止时出价最高且报价不低于起始价者为竞得人。</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经网上挂牌交易系统询问完毕后，没有竞买人表示愿意继续竞价的，以网上挂牌交易截止时报价最高且报价不低于起始价者为竞得人。</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（六）资格审查和签订《成交确认书》</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sz w:val="32"/>
          <w:szCs w:val="32"/>
          <w:highlight w:val="none"/>
        </w:rPr>
        <w:t>网上挂牌交易结束后，竞得人应当自行下载打印《竞买申请书》、《竞价结果通知书》</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《竞买保证金到账通知书》并盖章</w:t>
      </w:r>
      <w:r>
        <w:rPr>
          <w:rFonts w:hint="eastAsia" w:ascii="仿宋_GB2312" w:hAnsi="仿宋_GB2312" w:eastAsia="仿宋_GB2312" w:cs="仿宋_GB2312"/>
          <w:kern w:val="2"/>
          <w:sz w:val="32"/>
          <w:szCs w:val="32"/>
          <w:lang w:val="en-US" w:eastAsia="zh-CN" w:bidi="ar-SA"/>
        </w:rPr>
        <w:t>。</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sz w:val="32"/>
          <w:szCs w:val="32"/>
          <w:highlight w:val="none"/>
        </w:rPr>
        <w:t>竞</w:t>
      </w:r>
      <w:r>
        <w:rPr>
          <w:rFonts w:hint="eastAsia" w:ascii="仿宋_GB2312" w:hAnsi="仿宋_GB2312" w:eastAsia="仿宋_GB2312" w:cs="仿宋_GB2312"/>
          <w:sz w:val="32"/>
          <w:szCs w:val="32"/>
          <w:highlight w:val="none"/>
          <w:lang w:val="en-US" w:eastAsia="zh-CN"/>
        </w:rPr>
        <w:t>得</w:t>
      </w:r>
      <w:r>
        <w:rPr>
          <w:rFonts w:hint="eastAsia" w:ascii="仿宋_GB2312" w:hAnsi="仿宋_GB2312" w:eastAsia="仿宋_GB2312" w:cs="仿宋_GB2312"/>
          <w:sz w:val="32"/>
          <w:szCs w:val="32"/>
          <w:highlight w:val="none"/>
        </w:rPr>
        <w:t>人应当在网上挂牌交易结果公布</w:t>
      </w:r>
      <w:r>
        <w:rPr>
          <w:rFonts w:hint="eastAsia" w:ascii="仿宋_GB2312" w:hAnsi="仿宋_GB2312" w:eastAsia="仿宋_GB2312" w:cs="仿宋_GB2312"/>
          <w:sz w:val="32"/>
          <w:szCs w:val="32"/>
          <w:highlight w:val="none"/>
          <w:lang w:val="en-US" w:eastAsia="zh-CN"/>
        </w:rPr>
        <w:t>之日起5</w:t>
      </w:r>
      <w:r>
        <w:rPr>
          <w:rFonts w:hint="eastAsia" w:ascii="仿宋_GB2312" w:hAnsi="仿宋_GB2312" w:eastAsia="仿宋_GB2312" w:cs="仿宋_GB2312"/>
          <w:sz w:val="32"/>
          <w:szCs w:val="32"/>
          <w:highlight w:val="none"/>
        </w:rPr>
        <w:t>个工作</w:t>
      </w:r>
      <w:r>
        <w:rPr>
          <w:rFonts w:hint="eastAsia" w:ascii="仿宋_GB2312" w:hAnsi="仿宋_GB2312" w:eastAsia="仿宋_GB2312" w:cs="仿宋_GB2312"/>
          <w:color w:val="auto"/>
          <w:sz w:val="32"/>
          <w:szCs w:val="32"/>
          <w:highlight w:val="none"/>
        </w:rPr>
        <w:t>日内持公司公章及下列有关纸质材料到本中心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由委托方进行资格审查，符合竞买资格的，竞得人应当</w:t>
      </w:r>
      <w:r>
        <w:rPr>
          <w:rFonts w:hint="eastAsia" w:ascii="仿宋_GB2312" w:hAnsi="仿宋_GB2312" w:eastAsia="仿宋_GB2312" w:cs="仿宋_GB2312"/>
          <w:color w:val="auto"/>
          <w:sz w:val="32"/>
          <w:szCs w:val="32"/>
          <w:highlight w:val="none"/>
        </w:rPr>
        <w:t>在网上挂牌交易结果公布</w:t>
      </w:r>
      <w:r>
        <w:rPr>
          <w:rFonts w:hint="eastAsia" w:ascii="仿宋_GB2312" w:hAnsi="仿宋_GB2312" w:eastAsia="仿宋_GB2312" w:cs="仿宋_GB2312"/>
          <w:color w:val="auto"/>
          <w:sz w:val="32"/>
          <w:szCs w:val="32"/>
          <w:highlight w:val="none"/>
          <w:lang w:val="en-US" w:eastAsia="zh-CN"/>
        </w:rPr>
        <w:t>之日起5</w:t>
      </w:r>
      <w:r>
        <w:rPr>
          <w:rFonts w:hint="eastAsia" w:ascii="仿宋_GB2312" w:hAnsi="仿宋_GB2312" w:eastAsia="仿宋_GB2312" w:cs="仿宋_GB2312"/>
          <w:color w:val="auto"/>
          <w:sz w:val="32"/>
          <w:szCs w:val="32"/>
          <w:highlight w:val="none"/>
        </w:rPr>
        <w:t>个工作日内</w:t>
      </w:r>
      <w:r>
        <w:rPr>
          <w:rFonts w:hint="eastAsia" w:ascii="仿宋_GB2312" w:hAnsi="仿宋_GB2312" w:eastAsia="仿宋_GB2312" w:cs="仿宋_GB2312"/>
          <w:color w:val="auto"/>
          <w:sz w:val="32"/>
          <w:szCs w:val="32"/>
          <w:highlight w:val="none"/>
          <w:lang w:val="en-US" w:eastAsia="zh-CN"/>
        </w:rPr>
        <w:t>签订</w:t>
      </w:r>
      <w:r>
        <w:rPr>
          <w:rFonts w:hint="eastAsia" w:ascii="仿宋_GB2312" w:hAnsi="仿宋_GB2312" w:eastAsia="仿宋_GB2312" w:cs="仿宋_GB2312"/>
          <w:color w:val="auto"/>
          <w:sz w:val="32"/>
          <w:szCs w:val="32"/>
          <w:highlight w:val="none"/>
        </w:rPr>
        <w:t>《成交确认书》</w:t>
      </w:r>
      <w:r>
        <w:rPr>
          <w:rFonts w:hint="eastAsia" w:ascii="仿宋_GB2312" w:hAnsi="仿宋_GB2312" w:eastAsia="仿宋_GB2312" w:cs="仿宋_GB2312"/>
          <w:kern w:val="2"/>
          <w:sz w:val="32"/>
          <w:szCs w:val="32"/>
          <w:lang w:val="en-US" w:eastAsia="zh-CN" w:bidi="ar-SA"/>
        </w:rPr>
        <w:t>：</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（1）《竞买申请书》（加盖公章）。</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（2）《竞价结果通知书》（加盖公章）。</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（3）《竞买保证金到账通知书》（加盖公章）。</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（4）转账凭证复印件（加盖公章）。</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（5）申请竞买人有效的《营业执照》复印件（加盖公章）（二份）。</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（6）法定代表人身份证复印件（加盖公章）（二份）。</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（7）授权他人代理的授权委托书及代理人身份证复印件（核对原件）。</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（8）联合竞买协议（联合竞买的提供）。</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（9）竞买人及其控股股东不存在违法、违规、违约行为的承诺书。</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上述第（7）、（9）项材料须使用本中心标准样本，可在本系统的“挂牌文件”中下载。</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境外竞买人按照上述规定提交的有关竞买人身份证明及其他相关文件，应按规定由中华人民共和国驻该国、该地区大使馆或领事馆公证或认证；香港竞买人身份证明及其他相关文件应由中华人民共和国司法部授权的香港律师公证人公证并由中国法律服务（香港）有限公司加盖转递章；澳门竞买人身份证明及其他相关文件应由中华人民共和国司法部授权的澳门律师公证人公证；台湾竞买人身份证明及其他相关文件应由台湾公证人公证并存广东省公证协会副本备案。</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竞买人如需保存上述竞买报名资料应自留备份，本中心不予退还。</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联合竞买协议要约定联合各方的权利和义务。必须明确表达参与联合竞买的各方、参与竞买的代表人、联合各方的出资比例和签订《出让合同》时的受让人。</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上述文件中，申请书必须用中文书写，其他文件可以使用其它语言，但必须附中文译本，所有文件的解释以中文译本为准。</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（七）网上挂牌出让结果公示</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仿宋_GB2312" w:eastAsia="仿宋_GB2312" w:cs="仿宋_GB2312"/>
          <w:kern w:val="2"/>
          <w:sz w:val="32"/>
          <w:szCs w:val="32"/>
          <w:lang w:val="en-US" w:eastAsia="zh-CN" w:bidi="ar-SA"/>
        </w:rPr>
        <w:t>我中心将在本次国有建设用地使用权网上挂牌出让活动结束后10个工作日内，在中国土地市场网、惠州市公共资源交易中心网和本中心电子显示屏公布本次国有土地使用权网上挂牌出让结果。</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十六、注意事项</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在本宗地竞买申请之前，申请人须详细阅读本次《网上挂牌出让公告》、《惠州市国有建设用地使用权网上挂牌出让须知》、《惠州市国有建设用地使用权和矿业权电子挂牌交易规则》及相关信息和交易条件，如有疑问可以在网上挂牌活动开始日前向本中心咨询，申请人亦可自行到现场踏勘网上挂牌出让地块。申请一经受理确认后，即视为竞买人对网上挂牌出让公告、须知、相关交易文件及地块现状无异议并全部接受，并对有关承诺承担法律责任。</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（二）本次国有建设用地使用权网上挂牌出让为无底价挂牌出让，按照价高者得的原则确定竞得人。</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w:t>
      </w:r>
      <w:r>
        <w:rPr>
          <w:rFonts w:hint="eastAsia" w:ascii="仿宋_GB2312" w:hAnsi="仿宋_GB2312" w:eastAsia="仿宋_GB2312" w:cs="仿宋_GB2312"/>
          <w:sz w:val="32"/>
          <w:szCs w:val="32"/>
        </w:rPr>
        <w:t>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新公司的股东必须100%是竞买申请企业作为法人的股东。根据挂牌出让结果，可先与竞得人签订《国有建设用地使用权出让合同》（以下简称《出让合同》），在竞得人按约定办理完新公司注册登记手续后，再与新公司签订国有建设用地使用权出让合同补充条款，也可按约定直接与新公司签订《出让合同》</w:t>
      </w:r>
      <w:r>
        <w:rPr>
          <w:rFonts w:hint="eastAsia" w:ascii="仿宋_GB2312" w:hAnsi="仿宋_GB2312" w:eastAsia="仿宋_GB2312" w:cs="仿宋_GB2312"/>
          <w:kern w:val="2"/>
          <w:sz w:val="32"/>
          <w:szCs w:val="32"/>
          <w:lang w:val="en-US" w:eastAsia="zh-CN" w:bidi="ar-SA"/>
        </w:rPr>
        <w:t>。</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并以新公司名义办理土地登记发证手续，不能按联合申请人各自出资比例分割办证。如对联合竞买申请人的开发资质条件有明确要求的，在审查联合竞买申请人资质时，应以联合体内资质最低一方的资质确定竞买资格条件。</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（五）确定竞得人后，竞得人持《竞价结果通知书》以及参加本宗地网上挂牌交易的所须资料到惠州市公共资源交易中心土地矿业交易部申办相关成交确认手续。</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《竞价结果通知书》对挂牌人和竞得人具有法律效力，挂牌人改变网上挂牌结果的，或者竞得人放弃竞得宗地的，应当承担相应法律责任。</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网上挂牌系统确定成交后，竞得人缴纳的竞买保证金按成交价的10%转作定金。如竞买保证金不足以缴纳定金，不足部分在交易系统确定成交之日起5个工作日内补齐；如竞买保证金转作定金后有剩余，余额抵作土地成交价的预付款。竞得人签订《出让合同》后，定金可抵作土地成交价款，余额转作成交价款。</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以外币缴交竞买保证金的，扣除定金后余额部分返回给竞得人，待竞得人按时缴清成交价款后，再将定金退还，不计利息。</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未竞得人缴纳的竞买保证金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以人民币缴纳的竞买保证金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将</w:t>
      </w:r>
      <w:r>
        <w:rPr>
          <w:rFonts w:hint="eastAsia" w:ascii="仿宋_GB2312" w:hAnsi="仿宋_GB2312" w:eastAsia="仿宋_GB2312" w:cs="仿宋_GB2312"/>
          <w:sz w:val="32"/>
          <w:szCs w:val="32"/>
        </w:rPr>
        <w:t>于电子挂牌交易活动结束</w:t>
      </w:r>
      <w:r>
        <w:rPr>
          <w:rFonts w:hint="eastAsia" w:ascii="仿宋_GB2312" w:hAnsi="仿宋_GB2312" w:eastAsia="仿宋_GB2312" w:cs="仿宋_GB2312"/>
          <w:sz w:val="32"/>
          <w:szCs w:val="32"/>
          <w:lang w:val="en-US" w:eastAsia="zh-CN"/>
        </w:rPr>
        <w:t>之日起</w:t>
      </w:r>
      <w:r>
        <w:rPr>
          <w:rFonts w:hint="eastAsia" w:ascii="仿宋_GB2312" w:hAnsi="仿宋_GB2312" w:eastAsia="仿宋_GB2312" w:cs="仿宋_GB2312"/>
          <w:sz w:val="32"/>
          <w:szCs w:val="32"/>
        </w:rPr>
        <w:t>5个工作日内</w:t>
      </w:r>
      <w:r>
        <w:rPr>
          <w:rFonts w:hint="eastAsia" w:ascii="仿宋_GB2312" w:hAnsi="仿宋_GB2312" w:eastAsia="仿宋_GB2312" w:cs="仿宋_GB2312"/>
          <w:sz w:val="32"/>
          <w:szCs w:val="32"/>
          <w:lang w:val="en-US" w:eastAsia="zh-CN"/>
        </w:rPr>
        <w:t>通过网上退还的形式原路退还保证金</w:t>
      </w:r>
      <w:r>
        <w:rPr>
          <w:rFonts w:hint="eastAsia" w:ascii="仿宋_GB2312" w:hAnsi="仿宋_GB2312" w:eastAsia="仿宋_GB2312" w:cs="仿宋_GB2312"/>
          <w:color w:val="000000"/>
          <w:sz w:val="32"/>
          <w:szCs w:val="32"/>
        </w:rPr>
        <w:t>，不计利息</w:t>
      </w:r>
      <w:r>
        <w:rPr>
          <w:rFonts w:hint="eastAsia" w:ascii="仿宋_GB2312" w:hAnsi="仿宋_GB2312" w:eastAsia="仿宋_GB2312" w:cs="仿宋_GB2312"/>
          <w:kern w:val="2"/>
          <w:sz w:val="32"/>
          <w:szCs w:val="32"/>
          <w:lang w:val="en-US" w:eastAsia="zh-CN" w:bidi="ar-SA"/>
        </w:rPr>
        <w:t>。</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000000"/>
          <w:kern w:val="2"/>
          <w:sz w:val="32"/>
          <w:szCs w:val="32"/>
          <w:highlight w:val="none"/>
          <w:shd w:val="clear" w:color="auto" w:fill="auto"/>
          <w:lang w:val="en-US" w:eastAsia="zh-CN" w:bidi="ar-SA"/>
        </w:rPr>
        <w:t>竞得人应当在《成交确认书》签订之日起5个工作日内与出让人签订《出让合同》</w:t>
      </w:r>
      <w:r>
        <w:rPr>
          <w:rFonts w:hint="eastAsia" w:ascii="仿宋_GB2312" w:hAnsi="仿宋_GB2312" w:eastAsia="仿宋_GB2312" w:cs="仿宋_GB2312"/>
          <w:kern w:val="2"/>
          <w:sz w:val="32"/>
          <w:szCs w:val="32"/>
          <w:lang w:val="en-US" w:eastAsia="zh-CN" w:bidi="ar-SA"/>
        </w:rPr>
        <w:t>。</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sz w:val="32"/>
          <w:szCs w:val="32"/>
          <w:highlight w:val="none"/>
          <w:shd w:val="clear" w:color="auto" w:fill="auto"/>
          <w:lang w:eastAsia="zh-CN"/>
        </w:rPr>
        <w:t>竞得人办理保证金转付地价款手续须带齐相关资料（惠州市非税收入缴款通知、保证金到账通知书、竞价结果通知书、保证金转账凭证）到我中心办理</w:t>
      </w:r>
      <w:r>
        <w:rPr>
          <w:rFonts w:hint="eastAsia" w:ascii="仿宋_GB2312" w:hAnsi="仿宋_GB2312" w:eastAsia="仿宋_GB2312" w:cs="仿宋_GB2312"/>
          <w:b/>
          <w:bCs/>
          <w:sz w:val="32"/>
          <w:szCs w:val="32"/>
          <w:highlight w:val="none"/>
          <w:shd w:val="clear" w:color="auto" w:fill="auto"/>
          <w:lang w:eastAsia="zh-CN"/>
        </w:rPr>
        <w:t>。</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竞得人不能按时支付地价款的，自滞纳之日起，每日按迟延支付款项的1‰向出让人缴纳违约金，按合同约定延期付款超过60日的，土地出让人可以解除合同并无偿收回，已付定金归出让人，竞得人无权要求返还，出让人并可要求受让人赔偿损失。</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七）为避免网络延迟问题，竞买人首次出价应在网上挂牌截止前10分钟出价，以防止网上挂牌交易无法及时接收到报价的情况发生。5分钟倒计时竞价期间，请不要在最后时段报价，以防网络延时造成报价提交不成功。</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（八）有下列情形之一的，本中心将暂停、中止或终止网上挂牌交易活动：</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1、网上挂牌交易系统受到网络恶意入侵的。</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2、因网上挂牌交易系统遭受破坏或发生电力、网络故障等不可抗力因素，导致网上挂牌交易系统不能正常运行的。</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3、网上挂牌交易委托人根据有关规定要求暂停、中止或终止网上挂牌交易活动的。</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4、涉及土地或矿业权纠纷，不能及时解决的。</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5、司法机关要求暂停、中止或终止网上挂牌交易活动的。</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6、市自然资源管理部门或交易中心认为应当暂停、中止或终止网上挂牌交易活动的其他情形。</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（九）网上挂牌成交价即为该幅地块的总地价款，竞得人除支付成交价款外，还需支付契税、印花税等有关费用。</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（十）竞得人与出让人签订《出让合同》后，应当按出让合同约定支付网上挂牌成交价款。竞得人付清全部网上挂牌成交价款后，依法申请办理土地登记，领取《不动产权证书》。</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（十一）网上挂牌不成交的，应当按规定由委托方和本中心重新组织出让。</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（十二）本中心认为需要对网上挂牌出让须知、公告及相关交易文件作出修改、补充时，将通过原公告发布渠道公告，不作另行通知。</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申请人应当及时关注土地的网上挂牌交易信息。本中心发出的修改、补充公告，与本网上挂牌出让须知、公告及相关交易文件具有同等效力。若与本网上挂牌出让须知、公告及相关交易文件有矛盾时，以日期在后者为准。</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（十三）本须知及公告涉及的时间期限，以惠州市公共资源交易中心土地与矿业网上挂牌交易系统服务器的时间为准。</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（十四）竞买人在本次网上挂牌交易过程中与惠州市公共资源交易中心发生任何争议，由双方协商。协商不成的可依法提交惠州市仲裁机构仲裁解决。</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（十五）本中心对本《须知》有解释权。未尽事宜依照《招标拍卖挂牌出让国有土地使用权规范》办理。</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center"/>
        <w:textAlignment w:val="auto"/>
        <w:outlineLvl w:val="9"/>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惠州市公共资源交易中心     </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center"/>
        <w:textAlignment w:val="auto"/>
        <w:outlineLvl w:val="9"/>
        <w:rPr>
          <w:rFonts w:hint="default" w:eastAsia="仿宋_GB2312"/>
          <w:lang w:val="en-US" w:eastAsia="zh-CN"/>
        </w:rPr>
      </w:pPr>
      <w:r>
        <w:rPr>
          <w:rFonts w:hint="eastAsia" w:ascii="仿宋_GB2312" w:hAnsi="仿宋_GB2312" w:eastAsia="仿宋_GB2312" w:cs="仿宋_GB2312"/>
          <w:kern w:val="2"/>
          <w:sz w:val="32"/>
          <w:szCs w:val="32"/>
          <w:lang w:val="en-US" w:eastAsia="zh-CN" w:bidi="ar-SA"/>
        </w:rPr>
        <w:t xml:space="preserve">                         2021年10月18日</w:t>
      </w:r>
      <w:r>
        <w:rPr>
          <w:rFonts w:hint="eastAsia" w:ascii="仿宋_GB2312" w:hAnsi="宋体" w:eastAsia="仿宋_GB2312" w:cs="仿宋_GB2312"/>
          <w:sz w:val="25"/>
          <w:szCs w:val="25"/>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420" w:firstLineChars="200"/>
        <w:textAlignment w:val="auto"/>
        <w:outlineLvl w:val="9"/>
      </w:pPr>
    </w:p>
    <w:sectPr>
      <w:footerReference r:id="rId3" w:type="default"/>
      <w:pgSz w:w="11906" w:h="16838"/>
      <w:pgMar w:top="1440" w:right="1485" w:bottom="1440" w:left="180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Consolas">
    <w:panose1 w:val="020B0609020204030204"/>
    <w:charset w:val="00"/>
    <w:family w:val="auto"/>
    <w:pitch w:val="default"/>
    <w:sig w:usb0="E00006FF" w:usb1="0000FCFF" w:usb2="00000001" w:usb3="00000000" w:csb0="6000019F" w:csb1="DFD7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973EF0"/>
    <w:rsid w:val="01700062"/>
    <w:rsid w:val="0398491D"/>
    <w:rsid w:val="07175A66"/>
    <w:rsid w:val="08E86ED8"/>
    <w:rsid w:val="0B503AF0"/>
    <w:rsid w:val="15937805"/>
    <w:rsid w:val="19C20A80"/>
    <w:rsid w:val="1F973EF0"/>
    <w:rsid w:val="21617440"/>
    <w:rsid w:val="22EA2D01"/>
    <w:rsid w:val="2845428A"/>
    <w:rsid w:val="33B40EC2"/>
    <w:rsid w:val="371A3BE2"/>
    <w:rsid w:val="377D59C2"/>
    <w:rsid w:val="3DB47AF8"/>
    <w:rsid w:val="3E910382"/>
    <w:rsid w:val="45622B90"/>
    <w:rsid w:val="45B02BB7"/>
    <w:rsid w:val="478005E7"/>
    <w:rsid w:val="49DD3017"/>
    <w:rsid w:val="4FDF4DC1"/>
    <w:rsid w:val="553F321F"/>
    <w:rsid w:val="69826794"/>
    <w:rsid w:val="69FE57C5"/>
    <w:rsid w:val="6CC001F7"/>
    <w:rsid w:val="76435A6D"/>
    <w:rsid w:val="78DD71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15">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8">
    <w:name w:val="Strong"/>
    <w:basedOn w:val="7"/>
    <w:qFormat/>
    <w:uiPriority w:val="0"/>
    <w:rPr>
      <w:b/>
    </w:rPr>
  </w:style>
  <w:style w:type="character" w:styleId="9">
    <w:name w:val="FollowedHyperlink"/>
    <w:basedOn w:val="7"/>
    <w:qFormat/>
    <w:uiPriority w:val="0"/>
    <w:rPr>
      <w:color w:val="337AB7"/>
      <w:u w:val="none"/>
    </w:rPr>
  </w:style>
  <w:style w:type="character" w:styleId="10">
    <w:name w:val="HTML Definition"/>
    <w:basedOn w:val="7"/>
    <w:qFormat/>
    <w:uiPriority w:val="0"/>
    <w:rPr>
      <w:i/>
    </w:rPr>
  </w:style>
  <w:style w:type="character" w:styleId="11">
    <w:name w:val="Hyperlink"/>
    <w:basedOn w:val="7"/>
    <w:qFormat/>
    <w:uiPriority w:val="0"/>
    <w:rPr>
      <w:color w:val="337AB7"/>
      <w:u w:val="none"/>
    </w:rPr>
  </w:style>
  <w:style w:type="character" w:styleId="12">
    <w:name w:val="HTML Code"/>
    <w:basedOn w:val="7"/>
    <w:qFormat/>
    <w:uiPriority w:val="0"/>
    <w:rPr>
      <w:rFonts w:ascii="Consolas" w:hAnsi="Consolas" w:eastAsia="Consolas" w:cs="Consolas"/>
      <w:color w:val="C7254E"/>
      <w:sz w:val="21"/>
      <w:szCs w:val="21"/>
      <w:shd w:val="clear" w:fill="F9F2F4"/>
    </w:rPr>
  </w:style>
  <w:style w:type="character" w:styleId="13">
    <w:name w:val="HTML Keyboard"/>
    <w:basedOn w:val="7"/>
    <w:qFormat/>
    <w:uiPriority w:val="0"/>
    <w:rPr>
      <w:rFonts w:hint="default" w:ascii="Consolas" w:hAnsi="Consolas" w:eastAsia="Consolas" w:cs="Consolas"/>
      <w:color w:val="FFFFFF"/>
      <w:sz w:val="21"/>
      <w:szCs w:val="21"/>
      <w:shd w:val="clear" w:fill="333333"/>
    </w:rPr>
  </w:style>
  <w:style w:type="character" w:styleId="14">
    <w:name w:val="HTML Sample"/>
    <w:basedOn w:val="7"/>
    <w:qFormat/>
    <w:uiPriority w:val="0"/>
    <w:rPr>
      <w:rFonts w:hint="default" w:ascii="Consolas" w:hAnsi="Consolas" w:eastAsia="Consolas" w:cs="Consolas"/>
      <w:sz w:val="21"/>
      <w:szCs w:val="21"/>
    </w:rPr>
  </w:style>
  <w:style w:type="character" w:customStyle="1" w:styleId="16">
    <w:name w:val="first-child"/>
    <w:basedOn w:val="7"/>
    <w:qFormat/>
    <w:uiPriority w:val="0"/>
  </w:style>
  <w:style w:type="character" w:customStyle="1" w:styleId="17">
    <w:name w:val="actspan2"/>
    <w:basedOn w:val="7"/>
    <w:qFormat/>
    <w:uiPriority w:val="0"/>
  </w:style>
  <w:style w:type="character" w:customStyle="1" w:styleId="18">
    <w:name w:val="layui-layer-tabnow"/>
    <w:basedOn w:val="7"/>
    <w:qFormat/>
    <w:uiPriority w:val="0"/>
    <w:rPr>
      <w:bdr w:val="single" w:color="CCCCCC" w:sz="4" w:space="0"/>
      <w:shd w:val="clear" w:fill="FFFFF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市委办</Company>
  <Pages>1</Pages>
  <Words>0</Words>
  <Characters>0</Characters>
  <Lines>0</Lines>
  <Paragraphs>0</Paragraphs>
  <TotalTime>35</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2021-08-10T02:46:00Z</dcterms:created>
  <dc:creator>杨惠丹</dc:creator>
  <cp:lastModifiedBy>叶舒</cp:lastModifiedBy>
  <cp:lastPrinted>2021-10-19T07:35:20Z</cp:lastPrinted>
  <dcterms:modified xsi:type="dcterms:W3CDTF">2021-10-19T08:08:48Z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